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2019/15 vom 30. November 2020</w:t>
      </w:r>
    </w:p>
    <w:p>
      <w:r>
        <w:t>Sg Versicherungsgericht, 2020-11-30, DE</w:t>
      </w:r>
    </w:p>
    <w:p>
      <w:r>
        <w:rPr>
          <w:b/>
        </w:rPr>
        <w:t xml:space="preserve">Quelle: </w:t>
      </w:r>
      <w:r>
        <w:t>https://mcp.opencaselaw.ch/entscheid/sg_publikationen_AHV 2019_15</w:t>
      </w:r>
    </w:p>
    <w:p>
      <w:r>
        <w:t>FR: SG_VERSICHERUNGSGERICHT AHV 2019/15 du 30 novembre 2020</w:t>
      </w:r>
    </w:p>
    <w:p>
      <w:r>
        <w:t>IT: SG_VERSICHERUNGSGERICHT AHV 2019/15 del 30 novembre 2020</w:t>
      </w:r>
    </w:p>
    <w:p>
      <w:pPr>
        <w:pStyle w:val="Heading2"/>
      </w:pPr>
      <w:r>
        <w:t>Regeste</w:t>
      </w:r>
    </w:p>
    <w:p>
      <w:r>
        <w:t>Art. 52 AHVG. Organhaftung und Schadenersatz. Der Beschwerdeführer war als einziges Mitglied des Verwaltungsrats einer AG im Handelsregister eingetragen. Die Übertragung der operativen Leitung der Gesellschaft auf einen Geschäftsführer, der nicht im Handelsregister eingetragen war und als rein faktisches Organ handelte, entbindet den Beschwerdeführer nicht von der Erfüllung seiner unübertragbaren und unentziehbaren Aufgaben als Verwaltungsrat. Im Weiteren ist die vom Beschwerdeführer geltend gemachte Arbeitsunfähigkeit (gesundheitliche Beschwerden) nicht rechtsgenüglich ausgewiesen, sodass auch daraus keine Exkulpation resultiert (Erw. 2.4.3 f.)(Entscheid des Versicherungsgerichts des Kantons St. Gallen vom 30. November 2020, AHV 2019/15).</w:t>
      </w:r>
    </w:p>
    <w:p>
      <w:pPr>
        <w:pStyle w:val="Heading2"/>
      </w:pPr>
      <w:r>
        <w:t>Erwägungen</w:t>
      </w:r>
    </w:p>
    <w:p>
      <w:r>
        <w:rPr>
          <w:b/>
        </w:rPr>
        <w:t>E. 3</w:t>
      </w:r>
    </w:p>
    <w:p>
      <w:r>
        <w:t>Zusammenfassend sind die Voraussetzungen für die Inanspruchnahme des Beschwerdeführers als schadenersatzpflichtiges Organ erfüllt. Die Beschwerdegegnerin hat demnach den Beschwerdeführer zu Recht verpflichtet, Schadenersatz für entgangene bundes- und kantonalrechtliche Beiträge (inkl. Nebenkosten) in Höhe von insgesamt Fr. 221'766.75 zu bezahlen. Die Beschwerde ist demzufolge abzuweisen. Gerichtskosten sind keine zu erheben (Art. 61 lit. a des Bundesgesetzes über den Allgemeinen Teil des Sozialversicherungsrechts; ATSG, SR 830.1).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